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60" w:line="377.14285714285717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Silla</w:t>
      </w:r>
      <w:r w:rsidDel="00000000" w:rsidR="00000000" w:rsidRPr="00000000">
        <w:rPr>
          <w:sz w:val="21"/>
          <w:szCs w:val="21"/>
          <w:rtl w:val="0"/>
        </w:rPr>
        <w:t xml:space="preserve"> de WC y baño fabricada en aluminio. Respaldo de PU regulable en altura, profundidad y ángulo. Tapizado de goma que facilita la limpieza y la higiene personal. Sistema tilt de 0° a 30°. Apoyacabeza desmontable y regulable. Manija de empuje. Soportes laterales rebatibles de PU con faja. Apoyabrazos tipo escritorio rebatibles y desmontables. Cinturón pélvico. Asiento de PU con recorte higiénico. Relleno de asiento. Cubeta orinal desmontable. Apoya pies regulables en altura, rebatibles y desmontables. Ruedas de 5” fullpoly de giro libre con freno. Capacidad máxima de usuario 160 kg.</w:t>
      </w:r>
    </w:p>
    <w:p w:rsidR="00000000" w:rsidDel="00000000" w:rsidP="00000000" w:rsidRDefault="00000000" w:rsidRPr="00000000" w14:paraId="00000002">
      <w:pPr>
        <w:shd w:fill="ffffff" w:val="clear"/>
        <w:spacing w:after="160" w:line="377.14285714285717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